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before="156" w:beforeLines="50" w:after="156" w:afterLines="50"/>
        <w:jc w:val="center"/>
        <w:rPr>
          <w:rFonts w:ascii="黑体" w:hAnsi="黑体" w:eastAsia="黑体" w:cs="黑体"/>
          <w:sz w:val="32"/>
          <w:szCs w:val="32"/>
        </w:rPr>
      </w:pPr>
      <w:r>
        <w:rPr>
          <w:rFonts w:hint="eastAsia" w:ascii="黑体" w:hAnsi="黑体" w:eastAsia="黑体" w:cs="黑体"/>
          <w:sz w:val="36"/>
          <w:szCs w:val="36"/>
          <w:lang w:val="en-US" w:eastAsia="zh-CN"/>
        </w:rPr>
        <w:t>4</w:t>
      </w:r>
      <w:r>
        <w:rPr>
          <w:rFonts w:hint="eastAsia" w:ascii="黑体" w:hAnsi="黑体" w:eastAsia="黑体" w:cs="黑体"/>
          <w:sz w:val="36"/>
          <w:szCs w:val="36"/>
        </w:rPr>
        <w:t>项行业标准外文版计划申请汇总表</w:t>
      </w:r>
    </w:p>
    <w:tbl>
      <w:tblPr>
        <w:tblStyle w:val="11"/>
        <w:tblW w:w="15274" w:type="dxa"/>
        <w:jc w:val="center"/>
        <w:tblInd w:w="0" w:type="dxa"/>
        <w:tblLayout w:type="fixed"/>
        <w:tblCellMar>
          <w:top w:w="0" w:type="dxa"/>
          <w:left w:w="108" w:type="dxa"/>
          <w:bottom w:w="0" w:type="dxa"/>
          <w:right w:w="108" w:type="dxa"/>
        </w:tblCellMar>
      </w:tblPr>
      <w:tblGrid>
        <w:gridCol w:w="469"/>
        <w:gridCol w:w="1253"/>
        <w:gridCol w:w="1578"/>
        <w:gridCol w:w="684"/>
        <w:gridCol w:w="710"/>
        <w:gridCol w:w="913"/>
        <w:gridCol w:w="1585"/>
        <w:gridCol w:w="1413"/>
        <w:gridCol w:w="6669"/>
      </w:tblGrid>
      <w:tr>
        <w:tblPrEx>
          <w:tblLayout w:type="fixed"/>
          <w:tblCellMar>
            <w:top w:w="0" w:type="dxa"/>
            <w:left w:w="108" w:type="dxa"/>
            <w:bottom w:w="0" w:type="dxa"/>
            <w:right w:w="108" w:type="dxa"/>
          </w:tblCellMar>
        </w:tblPrEx>
        <w:trPr>
          <w:trHeight w:val="720" w:hRule="atLeast"/>
          <w:tblHeader/>
          <w:jc w:val="center"/>
        </w:trPr>
        <w:tc>
          <w:tcPr>
            <w:tcW w:w="4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序号</w:t>
            </w:r>
          </w:p>
        </w:tc>
        <w:tc>
          <w:tcPr>
            <w:tcW w:w="125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标准名称</w:t>
            </w:r>
          </w:p>
          <w:p>
            <w:pPr>
              <w:jc w:val="center"/>
              <w:rPr>
                <w:rFonts w:ascii="宋体" w:hAnsi="宋体" w:cs="宋体"/>
                <w:b/>
                <w:bCs/>
                <w:sz w:val="18"/>
                <w:szCs w:val="18"/>
              </w:rPr>
            </w:pPr>
            <w:r>
              <w:rPr>
                <w:rFonts w:hint="eastAsia" w:ascii="宋体" w:hAnsi="宋体" w:cs="宋体"/>
                <w:b/>
                <w:bCs/>
                <w:sz w:val="18"/>
                <w:szCs w:val="18"/>
              </w:rPr>
              <w:t>（中文）</w:t>
            </w:r>
          </w:p>
        </w:tc>
        <w:tc>
          <w:tcPr>
            <w:tcW w:w="1578"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标准名称</w:t>
            </w:r>
          </w:p>
          <w:p>
            <w:pPr>
              <w:jc w:val="center"/>
              <w:rPr>
                <w:rFonts w:ascii="宋体" w:hAnsi="宋体" w:cs="宋体"/>
                <w:b/>
                <w:bCs/>
                <w:sz w:val="18"/>
                <w:szCs w:val="18"/>
              </w:rPr>
            </w:pPr>
            <w:r>
              <w:rPr>
                <w:rFonts w:hint="eastAsia" w:ascii="宋体" w:hAnsi="宋体" w:cs="宋体"/>
                <w:b/>
                <w:bCs/>
                <w:sz w:val="18"/>
                <w:szCs w:val="18"/>
              </w:rPr>
              <w:t>（外文）</w:t>
            </w:r>
          </w:p>
        </w:tc>
        <w:tc>
          <w:tcPr>
            <w:tcW w:w="684"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拟翻译语种</w:t>
            </w:r>
          </w:p>
        </w:tc>
        <w:tc>
          <w:tcPr>
            <w:tcW w:w="71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类型</w:t>
            </w:r>
          </w:p>
        </w:tc>
        <w:tc>
          <w:tcPr>
            <w:tcW w:w="9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标准号/</w:t>
            </w:r>
          </w:p>
          <w:p>
            <w:pPr>
              <w:jc w:val="center"/>
              <w:rPr>
                <w:rFonts w:ascii="宋体" w:hAnsi="宋体" w:cs="宋体"/>
                <w:b/>
                <w:bCs/>
                <w:sz w:val="18"/>
                <w:szCs w:val="18"/>
              </w:rPr>
            </w:pPr>
            <w:r>
              <w:rPr>
                <w:rFonts w:hint="eastAsia" w:ascii="宋体" w:hAnsi="宋体" w:cs="宋体"/>
                <w:b/>
                <w:bCs/>
                <w:sz w:val="18"/>
                <w:szCs w:val="18"/>
              </w:rPr>
              <w:t>计划号</w:t>
            </w:r>
          </w:p>
        </w:tc>
        <w:tc>
          <w:tcPr>
            <w:tcW w:w="1585"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技术委员会或</w:t>
            </w:r>
          </w:p>
          <w:p>
            <w:pPr>
              <w:jc w:val="center"/>
              <w:rPr>
                <w:rFonts w:ascii="宋体" w:hAnsi="宋体" w:cs="宋体"/>
                <w:b/>
                <w:bCs/>
                <w:sz w:val="18"/>
                <w:szCs w:val="18"/>
              </w:rPr>
            </w:pPr>
            <w:r>
              <w:rPr>
                <w:rFonts w:hint="eastAsia" w:ascii="宋体" w:hAnsi="宋体" w:cs="宋体"/>
                <w:b/>
                <w:bCs/>
                <w:sz w:val="18"/>
                <w:szCs w:val="18"/>
              </w:rPr>
              <w:t>技术归口单位</w:t>
            </w:r>
          </w:p>
        </w:tc>
        <w:tc>
          <w:tcPr>
            <w:tcW w:w="1413"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项目承担单位</w:t>
            </w:r>
          </w:p>
        </w:tc>
        <w:tc>
          <w:tcPr>
            <w:tcW w:w="6669"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b/>
                <w:bCs/>
                <w:sz w:val="18"/>
                <w:szCs w:val="18"/>
              </w:rPr>
            </w:pPr>
            <w:r>
              <w:rPr>
                <w:rFonts w:hint="eastAsia" w:ascii="宋体" w:hAnsi="宋体" w:cs="宋体"/>
                <w:b/>
                <w:bCs/>
                <w:sz w:val="18"/>
                <w:szCs w:val="18"/>
              </w:rPr>
              <w:t>标准情况简要说明</w:t>
            </w:r>
          </w:p>
        </w:tc>
      </w:tr>
      <w:tr>
        <w:tblPrEx>
          <w:tblLayout w:type="fixed"/>
          <w:tblCellMar>
            <w:top w:w="0" w:type="dxa"/>
            <w:left w:w="108" w:type="dxa"/>
            <w:bottom w:w="0" w:type="dxa"/>
            <w:right w:w="108" w:type="dxa"/>
          </w:tblCellMar>
        </w:tblPrEx>
        <w:trPr>
          <w:trHeight w:val="285" w:hRule="atLeast"/>
          <w:jc w:val="center"/>
        </w:trPr>
        <w:tc>
          <w:tcPr>
            <w:tcW w:w="15274" w:type="dxa"/>
            <w:gridSpan w:val="9"/>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sz w:val="18"/>
                <w:szCs w:val="18"/>
              </w:rPr>
            </w:pPr>
            <w:r>
              <w:rPr>
                <w:rFonts w:hint="eastAsia" w:ascii="宋体" w:hAnsi="宋体" w:cs="宋体"/>
                <w:b/>
                <w:bCs/>
                <w:sz w:val="18"/>
                <w:szCs w:val="18"/>
                <w:lang w:eastAsia="zh-CN"/>
              </w:rPr>
              <w:t>电子</w:t>
            </w:r>
            <w:r>
              <w:rPr>
                <w:rFonts w:hint="eastAsia" w:ascii="宋体" w:hAnsi="宋体" w:cs="宋体"/>
                <w:b/>
                <w:bCs/>
                <w:sz w:val="18"/>
                <w:szCs w:val="18"/>
              </w:rPr>
              <w:t>行业</w:t>
            </w:r>
          </w:p>
        </w:tc>
      </w:tr>
      <w:tr>
        <w:tblPrEx>
          <w:tblLayout w:type="fixed"/>
          <w:tblCellMar>
            <w:top w:w="0" w:type="dxa"/>
            <w:left w:w="108" w:type="dxa"/>
            <w:bottom w:w="0" w:type="dxa"/>
            <w:right w:w="108" w:type="dxa"/>
          </w:tblCellMar>
        </w:tblPrEx>
        <w:trPr>
          <w:trHeight w:val="285"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cs="宋体"/>
                <w:b w:val="0"/>
                <w:bCs w:val="0"/>
                <w:sz w:val="18"/>
                <w:szCs w:val="18"/>
                <w:lang w:val="en-US" w:eastAsia="zh-CN"/>
              </w:rPr>
            </w:pPr>
            <w:r>
              <w:rPr>
                <w:rFonts w:hint="eastAsia" w:ascii="宋体" w:hAnsi="宋体" w:cs="宋体"/>
                <w:b w:val="0"/>
                <w:bCs w:val="0"/>
                <w:sz w:val="18"/>
                <w:szCs w:val="18"/>
              </w:rPr>
              <w:t>电子信息设备安装工程抗震技术规范</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Technical code for seismic resistance of electronic information equipments installation engineering</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宋体" w:hAnsi="宋体" w:cs="宋体"/>
                <w:b w:val="0"/>
                <w:bCs w:val="0"/>
                <w:sz w:val="18"/>
                <w:szCs w:val="18"/>
                <w:lang w:val="en-US" w:eastAsia="zh-CN"/>
              </w:rPr>
            </w:pPr>
            <w:r>
              <w:rPr>
                <w:rFonts w:hint="eastAsia" w:ascii="宋体" w:hAnsi="宋体" w:cs="宋体"/>
                <w:b w:val="0"/>
                <w:bCs w:val="0"/>
                <w:sz w:val="18"/>
                <w:szCs w:val="18"/>
              </w:rPr>
              <w:t>英文</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中文/外文标准同步研制</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宋体" w:hAnsi="宋体" w:cs="宋体"/>
                <w:b w:val="0"/>
                <w:bCs w:val="0"/>
                <w:sz w:val="18"/>
                <w:szCs w:val="18"/>
                <w:lang w:val="en-US" w:eastAsia="zh-CN"/>
              </w:rPr>
            </w:pP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cs="宋体"/>
                <w:b w:val="0"/>
                <w:bCs w:val="0"/>
                <w:sz w:val="18"/>
                <w:szCs w:val="18"/>
                <w:lang w:val="en-US" w:eastAsia="zh-CN"/>
              </w:rPr>
            </w:pPr>
            <w:r>
              <w:rPr>
                <w:rFonts w:hint="eastAsia" w:ascii="宋体" w:hAnsi="宋体" w:cs="宋体"/>
                <w:b w:val="0"/>
                <w:bCs w:val="0"/>
                <w:sz w:val="18"/>
                <w:szCs w:val="18"/>
              </w:rPr>
              <w:t>工业和信息化部电子工业标准化研究院电子工程标准定额站</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cs="宋体"/>
                <w:b w:val="0"/>
                <w:bCs w:val="0"/>
                <w:sz w:val="18"/>
                <w:szCs w:val="18"/>
                <w:lang w:val="en-US" w:eastAsia="zh-CN"/>
              </w:rPr>
            </w:pPr>
            <w:r>
              <w:rPr>
                <w:rFonts w:hint="eastAsia" w:ascii="宋体" w:hAnsi="宋体" w:cs="宋体"/>
                <w:b w:val="0"/>
                <w:bCs w:val="0"/>
                <w:sz w:val="18"/>
                <w:szCs w:val="18"/>
              </w:rPr>
              <w:t>盛年科技有限公司</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电子信息设备是对信息进行采集、加工、存储、传输、检索等处理设备，是目前科技前沿领域，在电路物理、航空航天、机械自动化等领域都有广泛的运用，也是国家经济发展的重要动力源。一旦地震造成电子设备损坏、信息系统中断或信息丢失，会导致金融、电力、交通等行业被迫中断，造成社会功能瘫痪，影响灾后救援和灾后恢复。本规范对发展电子信息设备的防震减灾关键科学与技术，保障电子信息设备的安全建设和运营都具有重要意义。国际上目前还没有相应的标准可参照。</w:t>
            </w:r>
          </w:p>
          <w:p>
            <w:pPr>
              <w:jc w:val="left"/>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本规范编制结合“一带一路”的国家倡议，在研究国外标准的基础上，结合国内现有技术水平制定，即满足标准的先进性，又满足标准的经济性。该规范技术将达到国际先进水平，能够对行业转型提供引领、规范作用。</w:t>
            </w:r>
          </w:p>
          <w:p>
            <w:pPr>
              <w:jc w:val="left"/>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目前，我国对外工程正在积极转型发展方式，中长期发展战略是巩固并扩大现有的比较趋势向“高科技、高附加值和高利润”的领域发展，将本规范国际化，使更多国际工程项目接受并采用本规范，一方面有助于获得更大的高端市场，另一方面也有助于在项目运作中发挥我国现有的优势，有效控制风险，创造更大收益。</w:t>
            </w:r>
          </w:p>
        </w:tc>
      </w:tr>
      <w:tr>
        <w:tblPrEx>
          <w:tblLayout w:type="fixed"/>
          <w:tblCellMar>
            <w:top w:w="0" w:type="dxa"/>
            <w:left w:w="108" w:type="dxa"/>
            <w:bottom w:w="0" w:type="dxa"/>
            <w:right w:w="108" w:type="dxa"/>
          </w:tblCellMar>
        </w:tblPrEx>
        <w:trPr>
          <w:trHeight w:val="285" w:hRule="atLeast"/>
          <w:jc w:val="center"/>
        </w:trPr>
        <w:tc>
          <w:tcPr>
            <w:tcW w:w="15274" w:type="dxa"/>
            <w:gridSpan w:val="9"/>
            <w:tcBorders>
              <w:top w:val="single" w:color="000000" w:sz="4" w:space="0"/>
              <w:left w:val="single" w:color="000000" w:sz="4" w:space="0"/>
              <w:bottom w:val="single" w:color="000000" w:sz="4" w:space="0"/>
              <w:right w:val="single" w:color="000000" w:sz="4" w:space="0"/>
            </w:tcBorders>
            <w:vAlign w:val="top"/>
          </w:tcPr>
          <w:p>
            <w:pPr>
              <w:jc w:val="left"/>
              <w:rPr>
                <w:rFonts w:ascii="宋体" w:hAnsi="宋体" w:cs="宋体"/>
                <w:sz w:val="18"/>
                <w:szCs w:val="18"/>
              </w:rPr>
            </w:pPr>
            <w:r>
              <w:rPr>
                <w:rFonts w:hint="eastAsia" w:ascii="宋体" w:hAnsi="宋体" w:cs="宋体"/>
                <w:b/>
                <w:bCs/>
                <w:sz w:val="18"/>
                <w:szCs w:val="18"/>
                <w:lang w:eastAsia="zh-CN"/>
              </w:rPr>
              <w:t>通信</w:t>
            </w:r>
            <w:r>
              <w:rPr>
                <w:rFonts w:hint="eastAsia" w:ascii="宋体" w:hAnsi="宋体" w:cs="宋体"/>
                <w:b/>
                <w:bCs/>
                <w:sz w:val="18"/>
                <w:szCs w:val="18"/>
              </w:rPr>
              <w:t>行业</w:t>
            </w:r>
          </w:p>
        </w:tc>
      </w:tr>
      <w:tr>
        <w:tblPrEx>
          <w:tblLayout w:type="fixed"/>
          <w:tblCellMar>
            <w:top w:w="0" w:type="dxa"/>
            <w:left w:w="108" w:type="dxa"/>
            <w:bottom w:w="0" w:type="dxa"/>
            <w:right w:w="108" w:type="dxa"/>
          </w:tblCellMar>
        </w:tblPrEx>
        <w:trPr>
          <w:trHeight w:val="285"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基于SDN的宽带接入网的应用场景及需求</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Application scenarios and requirements for SDN-based broadband access network</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英文</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翻译已有标准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YD/T 3343-2018</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中国通信标准化协会</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中国电信集团有限公司</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近年来，SDN（软件定义网络）已从理论研究阶段逐步进入到商用部署阶段，应用的领域也从最初的数据中心和数据中心互联逐步扩展到宽带接入网络中。国内以FTTx为主的宽带接入领域中引入SDN技术的场景和需求，已经形成了行业标准，将能帮助国内外运营商在接入网引入基于SDN的虚拟化、集中管理和能力开放等特性，可有效降低接入网的CAPEX和OPEX，提升用户体验，促进业务创新。统一的控制协议能够更好的实现集中管控和能力开放，帮助其网络建设和业务发展。</w:t>
            </w:r>
          </w:p>
        </w:tc>
      </w:tr>
      <w:tr>
        <w:tblPrEx>
          <w:tblLayout w:type="fixed"/>
          <w:tblCellMar>
            <w:top w:w="0" w:type="dxa"/>
            <w:left w:w="108" w:type="dxa"/>
            <w:bottom w:w="0" w:type="dxa"/>
            <w:right w:w="108" w:type="dxa"/>
          </w:tblCellMar>
        </w:tblPrEx>
        <w:trPr>
          <w:trHeight w:val="285"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xPON光收发合一模块技术条件 第8部分： 用于GPON和XG-PON共存的光线路终端（OLT）的光收发合一模块</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Technical specification optical transceiver module for xPON Part 8:GPON/XG-PON dual mode OLT optical transceiver module</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英文</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翻译已有标准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YD/T 1688.8-2018</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中国通信标准化协会</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中国电信集团有限公司</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b w:val="0"/>
                <w:bCs w:val="0"/>
                <w:sz w:val="18"/>
                <w:szCs w:val="18"/>
                <w:lang w:val="en-US" w:eastAsia="zh-CN"/>
              </w:rPr>
            </w:pPr>
            <w:r>
              <w:rPr>
                <w:rFonts w:hint="eastAsia" w:ascii="宋体" w:hAnsi="宋体" w:cs="宋体"/>
                <w:b w:val="0"/>
                <w:bCs w:val="0"/>
                <w:sz w:val="18"/>
                <w:szCs w:val="18"/>
                <w:lang w:val="en-US" w:eastAsia="zh-CN"/>
              </w:rPr>
              <w:t>运营商在建设宽带接入网络的过程中，面临传统GPON网络和新型XG-PON网络共存演进的需求。在GPON网络的大规模应用和XG-PON技术的启用部署过程中，这两种系统在同一个ODN中共存于运营商在工程中提供了较高的要求。而采用GPON和XG-PON1合一光线路终端（OLT）模块的方式，则可以大幅度讲题运营商的部署难度，简化工程施工程序。通过行业标准外文版的制定，可以为国内外需要应用此项技术的需求方，提供包含技术要求、测试方法、试验方法、检验规则、标志、包装、运输和贮存要求等内容在内的完整技术指标集合，用于有效的指导其器件采购、检验和应用部署。</w:t>
            </w:r>
          </w:p>
        </w:tc>
      </w:tr>
      <w:tr>
        <w:tblPrEx>
          <w:tblLayout w:type="fixed"/>
          <w:tblCellMar>
            <w:top w:w="0" w:type="dxa"/>
            <w:left w:w="108" w:type="dxa"/>
            <w:bottom w:w="0" w:type="dxa"/>
            <w:right w:w="108" w:type="dxa"/>
          </w:tblCellMar>
        </w:tblPrEx>
        <w:trPr>
          <w:trHeight w:val="285" w:hRule="atLeast"/>
          <w:jc w:val="center"/>
        </w:trPr>
        <w:tc>
          <w:tcPr>
            <w:tcW w:w="469" w:type="dxa"/>
            <w:tcBorders>
              <w:top w:val="single" w:color="000000" w:sz="4" w:space="0"/>
              <w:left w:val="single" w:color="000000" w:sz="4" w:space="0"/>
              <w:bottom w:val="single" w:color="000000" w:sz="4" w:space="0"/>
              <w:right w:val="single" w:color="000000" w:sz="4" w:space="0"/>
            </w:tcBorders>
            <w:shd w:val="clear" w:color="auto" w:fill="auto"/>
            <w:vAlign w:val="top"/>
          </w:tcPr>
          <w:p>
            <w:pPr>
              <w:numPr>
                <w:ilvl w:val="0"/>
                <w:numId w:val="1"/>
              </w:numPr>
              <w:jc w:val="left"/>
              <w:rPr>
                <w:rFonts w:hint="eastAsia" w:ascii="宋体" w:hAnsi="宋体" w:cs="宋体"/>
                <w:sz w:val="18"/>
                <w:szCs w:val="18"/>
              </w:rPr>
            </w:pPr>
          </w:p>
        </w:tc>
        <w:tc>
          <w:tcPr>
            <w:tcW w:w="125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运营级NAT444技术要求</w:t>
            </w:r>
          </w:p>
        </w:tc>
        <w:tc>
          <w:tcPr>
            <w:tcW w:w="1578"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Technical requitements for Carrier Grade NAT444</w:t>
            </w:r>
          </w:p>
        </w:tc>
        <w:tc>
          <w:tcPr>
            <w:tcW w:w="684"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英文</w:t>
            </w:r>
          </w:p>
        </w:tc>
        <w:tc>
          <w:tcPr>
            <w:tcW w:w="710"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翻译已有标准</w:t>
            </w:r>
          </w:p>
        </w:tc>
        <w:tc>
          <w:tcPr>
            <w:tcW w:w="91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宋体" w:hAnsi="宋体" w:cs="宋体"/>
                <w:b w:val="0"/>
                <w:bCs w:val="0"/>
                <w:sz w:val="18"/>
                <w:szCs w:val="18"/>
                <w:lang w:val="en-US" w:eastAsia="zh-CN"/>
              </w:rPr>
            </w:pPr>
            <w:r>
              <w:rPr>
                <w:rFonts w:hint="eastAsia" w:ascii="宋体" w:hAnsi="宋体" w:cs="宋体"/>
                <w:b w:val="0"/>
                <w:bCs w:val="0"/>
                <w:sz w:val="18"/>
                <w:szCs w:val="18"/>
                <w:lang w:val="en-US" w:eastAsia="zh-CN"/>
              </w:rPr>
              <w:t>YD/T 2811-2015</w:t>
            </w:r>
          </w:p>
        </w:tc>
        <w:tc>
          <w:tcPr>
            <w:tcW w:w="1585"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中国通信标准化协会</w:t>
            </w:r>
          </w:p>
        </w:tc>
        <w:tc>
          <w:tcPr>
            <w:tcW w:w="1413"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中国电信集团有限公司</w:t>
            </w:r>
          </w:p>
        </w:tc>
        <w:tc>
          <w:tcPr>
            <w:tcW w:w="6669" w:type="dxa"/>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NAT444是国内外电信运营商采用的一种IPv6过渡技术，由IPv6和包括CGN（Carrier Grade NAT，运营级地址转换）功能的IPv4组成，融入了IPv4、NAT、IPv6等技术。通过部署NAT444技术，一方面可以缓解互联网业务持续发展与IPv4地址紧缺之间的矛盾，另一方面能满足用户接入IPv6网络的需求，通过IPv6用户和应用的自然增长实现IPv4向IPv6的平滑迁移。</w:t>
            </w:r>
          </w:p>
          <w:p>
            <w:pPr>
              <w:jc w:val="left"/>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在网络基础设施建设中部署NAT444技术，对宽带接入服务器、用户终端、AAA系统、用户溯源等设备和系统提供了新的要求，而各设备和系统之间需要协同才能完成用户的双栈服务功能。《运营级NAT444技术要求》对NAT444技术进行规范和标准化，得到国内外设备厂商的认可和应用，指导了NAT444设备技术研发，同时有效指导国内运营商IPv6双栈部署，缓解IPv4地址短缺问题，有力的推进网络IPv6演进，奠定了中国在下一代互联网的领先地位。</w:t>
            </w:r>
          </w:p>
          <w:p>
            <w:pPr>
              <w:jc w:val="left"/>
              <w:rPr>
                <w:rFonts w:hint="eastAsia" w:ascii="宋体" w:hAnsi="宋体" w:cs="宋体"/>
                <w:b w:val="0"/>
                <w:bCs w:val="0"/>
                <w:sz w:val="18"/>
                <w:szCs w:val="18"/>
                <w:lang w:val="en-US" w:eastAsia="zh-CN"/>
              </w:rPr>
            </w:pPr>
            <w:r>
              <w:rPr>
                <w:rFonts w:hint="eastAsia" w:ascii="宋体" w:hAnsi="宋体" w:cs="宋体"/>
                <w:b w:val="0"/>
                <w:bCs w:val="0"/>
                <w:sz w:val="18"/>
                <w:szCs w:val="18"/>
                <w:lang w:val="en-US" w:eastAsia="zh-CN"/>
              </w:rPr>
              <w:t>亚洲各国皆面临IPv4地址枯竭难题，《运营级NAT444技术要求》外文版本将更好地将国内成功经验输出，服务于“一带一路”IPv6基础设施的建议和运营，满足国际设备和系统的合作等需求。运营级NAT444技术要求外文版的修订，对于国内外设备商、系统提供商、电信运营商提供IPv6设备和服务具有重要的促进作用，将推进“一带一路”IPv6基础设施的建设和发展。</w:t>
            </w:r>
            <w:bookmarkStart w:id="0" w:name="_GoBack"/>
            <w:bookmarkEnd w:id="0"/>
          </w:p>
        </w:tc>
      </w:tr>
    </w:tbl>
    <w:p>
      <w:pPr>
        <w:widowControl/>
        <w:jc w:val="left"/>
        <w:textAlignment w:val="center"/>
        <w:rPr>
          <w:rFonts w:hint="eastAsia" w:ascii="宋体" w:hAnsi="宋体" w:cs="宋体"/>
          <w:kern w:val="0"/>
          <w:sz w:val="18"/>
          <w:szCs w:val="18"/>
          <w:lang w:bidi="ar"/>
        </w:rPr>
      </w:pPr>
    </w:p>
    <w:sectPr>
      <w:footerReference r:id="rId3" w:type="default"/>
      <w:pgSz w:w="16838" w:h="11906" w:orient="landscape"/>
      <w:pgMar w:top="873" w:right="890" w:bottom="873" w:left="890" w:header="283" w:footer="425" w:gutter="0"/>
      <w:pgNumType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swiss"/>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Arial">
    <w:panose1 w:val="020B0604020202020204"/>
    <w:charset w:val="CC"/>
    <w:family w:val="swiss"/>
    <w:pitch w:val="default"/>
    <w:sig w:usb0="E0002AFF" w:usb1="C0007843" w:usb2="00000009" w:usb3="00000000" w:csb0="400001FF" w:csb1="FFFF0000"/>
  </w:font>
  <w:font w:name="Calibri">
    <w:panose1 w:val="020F0502020204030204"/>
    <w:charset w:val="CC"/>
    <w:family w:val="swiss"/>
    <w:pitch w:val="default"/>
    <w:sig w:usb0="E00002FF" w:usb1="4000ACFF" w:usb2="00000001" w:usb3="00000000" w:csb0="2000019F" w:csb1="00000000"/>
  </w:font>
  <w:font w:name="Cambria Math">
    <w:panose1 w:val="02040503050406030204"/>
    <w:charset w:val="CC"/>
    <w:family w:val="roman"/>
    <w:pitch w:val="default"/>
    <w:sig w:usb0="E00002FF" w:usb1="420024FF" w:usb2="00000000" w:usb3="00000000" w:csb0="2000019F" w:csb1="00000000"/>
  </w:font>
  <w:font w:name="&quot;Microsoft YaHei">
    <w:altName w:val="Segoe Print"/>
    <w:panose1 w:val="00000000000000000000"/>
    <w:charset w:val="00"/>
    <w:family w:val="roman"/>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方正仿宋简体">
    <w:panose1 w:val="02000000000000000000"/>
    <w:charset w:val="86"/>
    <w:family w:val="script"/>
    <w:pitch w:val="default"/>
    <w:sig w:usb0="A00002BF" w:usb1="184F6CFA" w:usb2="00000012" w:usb3="00000000" w:csb0="00040001" w:csb1="00000000"/>
  </w:font>
  <w:font w:name="Calibri Light">
    <w:panose1 w:val="020F0302020204030204"/>
    <w:charset w:val="00"/>
    <w:family w:val="swiss"/>
    <w:pitch w:val="default"/>
    <w:sig w:usb0="A00002EF" w:usb1="4000207B" w:usb2="00000000" w:usb3="00000000" w:csb0="2000019F" w:csb1="00000000"/>
  </w:font>
  <w:font w:name="PMingLiU">
    <w:panose1 w:val="02020500000000000000"/>
    <w:charset w:val="88"/>
    <w:family w:val="roman"/>
    <w:pitch w:val="default"/>
    <w:sig w:usb0="A00002FF" w:usb1="28CFFCFA" w:usb2="00000016" w:usb3="00000000" w:csb0="0010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035AD"/>
    <w:multiLevelType w:val="singleLevel"/>
    <w:tmpl w:val="501035AD"/>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E6F"/>
    <w:rsid w:val="00033071"/>
    <w:rsid w:val="000411E0"/>
    <w:rsid w:val="00077A24"/>
    <w:rsid w:val="0008236D"/>
    <w:rsid w:val="00084B1B"/>
    <w:rsid w:val="0008689D"/>
    <w:rsid w:val="00095F68"/>
    <w:rsid w:val="000A59EF"/>
    <w:rsid w:val="000B6606"/>
    <w:rsid w:val="000C54C8"/>
    <w:rsid w:val="000E47D1"/>
    <w:rsid w:val="00126B6A"/>
    <w:rsid w:val="00136E7F"/>
    <w:rsid w:val="00175634"/>
    <w:rsid w:val="001A187F"/>
    <w:rsid w:val="001A4F80"/>
    <w:rsid w:val="001B140D"/>
    <w:rsid w:val="001B1B7C"/>
    <w:rsid w:val="001B535A"/>
    <w:rsid w:val="001C01F1"/>
    <w:rsid w:val="001D130C"/>
    <w:rsid w:val="001D52A7"/>
    <w:rsid w:val="001E6C51"/>
    <w:rsid w:val="001E6E57"/>
    <w:rsid w:val="001F1E19"/>
    <w:rsid w:val="001F66AD"/>
    <w:rsid w:val="00200B02"/>
    <w:rsid w:val="00211DB0"/>
    <w:rsid w:val="00213760"/>
    <w:rsid w:val="00215EF0"/>
    <w:rsid w:val="002176D9"/>
    <w:rsid w:val="00235CE1"/>
    <w:rsid w:val="00240EB0"/>
    <w:rsid w:val="00264C55"/>
    <w:rsid w:val="002773A8"/>
    <w:rsid w:val="0028792B"/>
    <w:rsid w:val="002A5217"/>
    <w:rsid w:val="002A5F87"/>
    <w:rsid w:val="002C09D6"/>
    <w:rsid w:val="002C1326"/>
    <w:rsid w:val="002C31DB"/>
    <w:rsid w:val="002C7B03"/>
    <w:rsid w:val="002D69D4"/>
    <w:rsid w:val="002F202B"/>
    <w:rsid w:val="00304621"/>
    <w:rsid w:val="00335F47"/>
    <w:rsid w:val="0033630F"/>
    <w:rsid w:val="0033743F"/>
    <w:rsid w:val="003513FB"/>
    <w:rsid w:val="00360789"/>
    <w:rsid w:val="00366BBB"/>
    <w:rsid w:val="003745F0"/>
    <w:rsid w:val="003A0386"/>
    <w:rsid w:val="003D0CA1"/>
    <w:rsid w:val="004112CE"/>
    <w:rsid w:val="00432D4E"/>
    <w:rsid w:val="00436610"/>
    <w:rsid w:val="004770B0"/>
    <w:rsid w:val="00480968"/>
    <w:rsid w:val="004A5D50"/>
    <w:rsid w:val="004A68E1"/>
    <w:rsid w:val="004A6A09"/>
    <w:rsid w:val="004B4A67"/>
    <w:rsid w:val="004C24C7"/>
    <w:rsid w:val="00501076"/>
    <w:rsid w:val="00510CB4"/>
    <w:rsid w:val="00513107"/>
    <w:rsid w:val="005154B1"/>
    <w:rsid w:val="00517CE1"/>
    <w:rsid w:val="005200F5"/>
    <w:rsid w:val="00544C73"/>
    <w:rsid w:val="00551068"/>
    <w:rsid w:val="00567404"/>
    <w:rsid w:val="00570E79"/>
    <w:rsid w:val="00590DAF"/>
    <w:rsid w:val="005C140A"/>
    <w:rsid w:val="005C5335"/>
    <w:rsid w:val="006007A6"/>
    <w:rsid w:val="00602DDB"/>
    <w:rsid w:val="00627306"/>
    <w:rsid w:val="00650835"/>
    <w:rsid w:val="00661B43"/>
    <w:rsid w:val="00672D48"/>
    <w:rsid w:val="0067381E"/>
    <w:rsid w:val="006866B8"/>
    <w:rsid w:val="006952F8"/>
    <w:rsid w:val="006A58CD"/>
    <w:rsid w:val="006A7E74"/>
    <w:rsid w:val="006C7785"/>
    <w:rsid w:val="006E4AE4"/>
    <w:rsid w:val="0070002B"/>
    <w:rsid w:val="007020CA"/>
    <w:rsid w:val="00705FF2"/>
    <w:rsid w:val="00713941"/>
    <w:rsid w:val="00730BF9"/>
    <w:rsid w:val="007558AB"/>
    <w:rsid w:val="007601C6"/>
    <w:rsid w:val="00797B9A"/>
    <w:rsid w:val="007A6387"/>
    <w:rsid w:val="007B3DF2"/>
    <w:rsid w:val="007C65B3"/>
    <w:rsid w:val="007D07B2"/>
    <w:rsid w:val="007E6D3E"/>
    <w:rsid w:val="00833E3B"/>
    <w:rsid w:val="00847BA9"/>
    <w:rsid w:val="0085041E"/>
    <w:rsid w:val="00853B99"/>
    <w:rsid w:val="008644B0"/>
    <w:rsid w:val="008939BC"/>
    <w:rsid w:val="008E558F"/>
    <w:rsid w:val="00901F8F"/>
    <w:rsid w:val="00906661"/>
    <w:rsid w:val="00922DD5"/>
    <w:rsid w:val="00934CB9"/>
    <w:rsid w:val="00941CAE"/>
    <w:rsid w:val="0095563B"/>
    <w:rsid w:val="009734A1"/>
    <w:rsid w:val="00990389"/>
    <w:rsid w:val="0099156E"/>
    <w:rsid w:val="0099258C"/>
    <w:rsid w:val="00995700"/>
    <w:rsid w:val="009A2E0C"/>
    <w:rsid w:val="009E309C"/>
    <w:rsid w:val="009F1693"/>
    <w:rsid w:val="009F1ECE"/>
    <w:rsid w:val="00A03330"/>
    <w:rsid w:val="00A0603F"/>
    <w:rsid w:val="00A73C1A"/>
    <w:rsid w:val="00A74133"/>
    <w:rsid w:val="00A84D58"/>
    <w:rsid w:val="00A97864"/>
    <w:rsid w:val="00AA0D16"/>
    <w:rsid w:val="00AC32C3"/>
    <w:rsid w:val="00AF1EA5"/>
    <w:rsid w:val="00AF58C7"/>
    <w:rsid w:val="00B0058D"/>
    <w:rsid w:val="00B10076"/>
    <w:rsid w:val="00B1172C"/>
    <w:rsid w:val="00B2020C"/>
    <w:rsid w:val="00B255BB"/>
    <w:rsid w:val="00B34C2B"/>
    <w:rsid w:val="00B41B63"/>
    <w:rsid w:val="00B521C0"/>
    <w:rsid w:val="00B66B6A"/>
    <w:rsid w:val="00B81553"/>
    <w:rsid w:val="00B92951"/>
    <w:rsid w:val="00BB6829"/>
    <w:rsid w:val="00BC07A3"/>
    <w:rsid w:val="00BD54E5"/>
    <w:rsid w:val="00BD587D"/>
    <w:rsid w:val="00BE57D5"/>
    <w:rsid w:val="00BE6CB7"/>
    <w:rsid w:val="00C05759"/>
    <w:rsid w:val="00C15D1F"/>
    <w:rsid w:val="00C215BE"/>
    <w:rsid w:val="00C3521E"/>
    <w:rsid w:val="00CB0679"/>
    <w:rsid w:val="00CD2019"/>
    <w:rsid w:val="00CE03FD"/>
    <w:rsid w:val="00CE2292"/>
    <w:rsid w:val="00CF336B"/>
    <w:rsid w:val="00CF7F7C"/>
    <w:rsid w:val="00D02762"/>
    <w:rsid w:val="00D05D1D"/>
    <w:rsid w:val="00D06C08"/>
    <w:rsid w:val="00D2186F"/>
    <w:rsid w:val="00D517FE"/>
    <w:rsid w:val="00D64BA4"/>
    <w:rsid w:val="00D67F3F"/>
    <w:rsid w:val="00D865B5"/>
    <w:rsid w:val="00D90262"/>
    <w:rsid w:val="00DA5174"/>
    <w:rsid w:val="00DC2B47"/>
    <w:rsid w:val="00DC5DD9"/>
    <w:rsid w:val="00DD0344"/>
    <w:rsid w:val="00DE2470"/>
    <w:rsid w:val="00DF1DD6"/>
    <w:rsid w:val="00DF28D0"/>
    <w:rsid w:val="00E11C16"/>
    <w:rsid w:val="00E16788"/>
    <w:rsid w:val="00E30607"/>
    <w:rsid w:val="00E338C3"/>
    <w:rsid w:val="00E401EA"/>
    <w:rsid w:val="00E51486"/>
    <w:rsid w:val="00E62EF7"/>
    <w:rsid w:val="00E66B78"/>
    <w:rsid w:val="00E824A7"/>
    <w:rsid w:val="00E92E6F"/>
    <w:rsid w:val="00EA077B"/>
    <w:rsid w:val="00EB4D6A"/>
    <w:rsid w:val="00EB7AA8"/>
    <w:rsid w:val="00EB7F39"/>
    <w:rsid w:val="00ED5795"/>
    <w:rsid w:val="00EF05CF"/>
    <w:rsid w:val="00EF4F26"/>
    <w:rsid w:val="00EF576D"/>
    <w:rsid w:val="00F041CF"/>
    <w:rsid w:val="00F044BC"/>
    <w:rsid w:val="00F22F63"/>
    <w:rsid w:val="00F525B1"/>
    <w:rsid w:val="00F67703"/>
    <w:rsid w:val="00F7356E"/>
    <w:rsid w:val="00F76693"/>
    <w:rsid w:val="00F76EED"/>
    <w:rsid w:val="00F8305B"/>
    <w:rsid w:val="00F86B2C"/>
    <w:rsid w:val="00F97978"/>
    <w:rsid w:val="00FB5F67"/>
    <w:rsid w:val="00FD4C09"/>
    <w:rsid w:val="00FE6D0D"/>
    <w:rsid w:val="00FF4403"/>
    <w:rsid w:val="013B3573"/>
    <w:rsid w:val="02457297"/>
    <w:rsid w:val="024A000B"/>
    <w:rsid w:val="026C6ABE"/>
    <w:rsid w:val="02AB7FFE"/>
    <w:rsid w:val="03045FEF"/>
    <w:rsid w:val="04083D6A"/>
    <w:rsid w:val="041377D2"/>
    <w:rsid w:val="04443838"/>
    <w:rsid w:val="04A96187"/>
    <w:rsid w:val="04B71A91"/>
    <w:rsid w:val="04F22CBE"/>
    <w:rsid w:val="05172FA3"/>
    <w:rsid w:val="0525663E"/>
    <w:rsid w:val="0540655C"/>
    <w:rsid w:val="05F46357"/>
    <w:rsid w:val="05FE6637"/>
    <w:rsid w:val="06337495"/>
    <w:rsid w:val="066F35B5"/>
    <w:rsid w:val="07262B62"/>
    <w:rsid w:val="07894095"/>
    <w:rsid w:val="07B0773F"/>
    <w:rsid w:val="089E1590"/>
    <w:rsid w:val="098C3D1D"/>
    <w:rsid w:val="0A64458D"/>
    <w:rsid w:val="0A8C306E"/>
    <w:rsid w:val="0ACA283E"/>
    <w:rsid w:val="0AF025A6"/>
    <w:rsid w:val="0BAF505D"/>
    <w:rsid w:val="0BFC2244"/>
    <w:rsid w:val="0C125590"/>
    <w:rsid w:val="0C87790D"/>
    <w:rsid w:val="0CBF426D"/>
    <w:rsid w:val="0CEA7678"/>
    <w:rsid w:val="0D9F0855"/>
    <w:rsid w:val="0E0829C0"/>
    <w:rsid w:val="0E122066"/>
    <w:rsid w:val="0E3B24BB"/>
    <w:rsid w:val="0E477340"/>
    <w:rsid w:val="0E735FC9"/>
    <w:rsid w:val="0EC35CA3"/>
    <w:rsid w:val="0F227FD0"/>
    <w:rsid w:val="0F752998"/>
    <w:rsid w:val="0F76499A"/>
    <w:rsid w:val="0F8A7703"/>
    <w:rsid w:val="10214C4C"/>
    <w:rsid w:val="105A6A26"/>
    <w:rsid w:val="106D4B25"/>
    <w:rsid w:val="107D5873"/>
    <w:rsid w:val="10E61116"/>
    <w:rsid w:val="1101530E"/>
    <w:rsid w:val="11355FB2"/>
    <w:rsid w:val="11471AF5"/>
    <w:rsid w:val="12353897"/>
    <w:rsid w:val="12506DDD"/>
    <w:rsid w:val="12A972F8"/>
    <w:rsid w:val="12C062F8"/>
    <w:rsid w:val="131868A2"/>
    <w:rsid w:val="133C73AF"/>
    <w:rsid w:val="13F62605"/>
    <w:rsid w:val="141B3E43"/>
    <w:rsid w:val="143C68C9"/>
    <w:rsid w:val="146E73C2"/>
    <w:rsid w:val="147E42EA"/>
    <w:rsid w:val="14F60617"/>
    <w:rsid w:val="156D63A3"/>
    <w:rsid w:val="16082587"/>
    <w:rsid w:val="16645615"/>
    <w:rsid w:val="168B7384"/>
    <w:rsid w:val="16E36A6A"/>
    <w:rsid w:val="174A5355"/>
    <w:rsid w:val="175258EA"/>
    <w:rsid w:val="17EC1F6D"/>
    <w:rsid w:val="17FE1B5A"/>
    <w:rsid w:val="18FD3EE9"/>
    <w:rsid w:val="1927032C"/>
    <w:rsid w:val="192C3410"/>
    <w:rsid w:val="195F657A"/>
    <w:rsid w:val="1A181F57"/>
    <w:rsid w:val="1A845964"/>
    <w:rsid w:val="1AD70938"/>
    <w:rsid w:val="1B1B2D13"/>
    <w:rsid w:val="1B6905B3"/>
    <w:rsid w:val="1B93162A"/>
    <w:rsid w:val="1B9E0743"/>
    <w:rsid w:val="1BDD0F28"/>
    <w:rsid w:val="1BE54C85"/>
    <w:rsid w:val="1C5C5500"/>
    <w:rsid w:val="1D1D469C"/>
    <w:rsid w:val="1D99253B"/>
    <w:rsid w:val="1E6A0EEA"/>
    <w:rsid w:val="1EB35D22"/>
    <w:rsid w:val="1F6B4408"/>
    <w:rsid w:val="1FD46B8E"/>
    <w:rsid w:val="20571528"/>
    <w:rsid w:val="207D03F1"/>
    <w:rsid w:val="20D96C13"/>
    <w:rsid w:val="20E9492F"/>
    <w:rsid w:val="215E203D"/>
    <w:rsid w:val="21F24D6B"/>
    <w:rsid w:val="225B2406"/>
    <w:rsid w:val="2291669D"/>
    <w:rsid w:val="23655888"/>
    <w:rsid w:val="237D08B9"/>
    <w:rsid w:val="23EF7D69"/>
    <w:rsid w:val="24277DFD"/>
    <w:rsid w:val="24340DEB"/>
    <w:rsid w:val="2453218E"/>
    <w:rsid w:val="24A63FD9"/>
    <w:rsid w:val="24A73C8A"/>
    <w:rsid w:val="24C72A9F"/>
    <w:rsid w:val="24F974BD"/>
    <w:rsid w:val="251B7984"/>
    <w:rsid w:val="25437862"/>
    <w:rsid w:val="254B2D53"/>
    <w:rsid w:val="259D25B3"/>
    <w:rsid w:val="25E3535F"/>
    <w:rsid w:val="26400508"/>
    <w:rsid w:val="264777E9"/>
    <w:rsid w:val="268D47F2"/>
    <w:rsid w:val="275C53BD"/>
    <w:rsid w:val="2789097A"/>
    <w:rsid w:val="27D5348A"/>
    <w:rsid w:val="282577BB"/>
    <w:rsid w:val="28356CE7"/>
    <w:rsid w:val="283A4B8C"/>
    <w:rsid w:val="286D135A"/>
    <w:rsid w:val="28EE0D8D"/>
    <w:rsid w:val="28F1640A"/>
    <w:rsid w:val="28F94790"/>
    <w:rsid w:val="29510C43"/>
    <w:rsid w:val="296224C8"/>
    <w:rsid w:val="299557D3"/>
    <w:rsid w:val="29C23817"/>
    <w:rsid w:val="2A2D1FB7"/>
    <w:rsid w:val="2A421F70"/>
    <w:rsid w:val="2A8F11E2"/>
    <w:rsid w:val="2ADA48B9"/>
    <w:rsid w:val="2B693A6A"/>
    <w:rsid w:val="2B741E25"/>
    <w:rsid w:val="2C0A3B92"/>
    <w:rsid w:val="2C113FAE"/>
    <w:rsid w:val="2C143242"/>
    <w:rsid w:val="2C9D4994"/>
    <w:rsid w:val="2CA24D04"/>
    <w:rsid w:val="2D764055"/>
    <w:rsid w:val="2DB41503"/>
    <w:rsid w:val="2DEA4E6B"/>
    <w:rsid w:val="2E4425C8"/>
    <w:rsid w:val="2E513D20"/>
    <w:rsid w:val="2E936326"/>
    <w:rsid w:val="2F004253"/>
    <w:rsid w:val="2F4042D8"/>
    <w:rsid w:val="2F8F170E"/>
    <w:rsid w:val="30091ED3"/>
    <w:rsid w:val="30861210"/>
    <w:rsid w:val="30CF6D0E"/>
    <w:rsid w:val="30F322CC"/>
    <w:rsid w:val="31670366"/>
    <w:rsid w:val="317C2271"/>
    <w:rsid w:val="31C8025F"/>
    <w:rsid w:val="324861BA"/>
    <w:rsid w:val="32D06212"/>
    <w:rsid w:val="333D216B"/>
    <w:rsid w:val="33533BE2"/>
    <w:rsid w:val="33AB27D7"/>
    <w:rsid w:val="34FB18BC"/>
    <w:rsid w:val="351F5D54"/>
    <w:rsid w:val="35276A3B"/>
    <w:rsid w:val="35852017"/>
    <w:rsid w:val="35A5114B"/>
    <w:rsid w:val="36287A15"/>
    <w:rsid w:val="36466FC3"/>
    <w:rsid w:val="3669724C"/>
    <w:rsid w:val="369D0E41"/>
    <w:rsid w:val="369D16A8"/>
    <w:rsid w:val="36E6402E"/>
    <w:rsid w:val="36E921E9"/>
    <w:rsid w:val="36F41F2F"/>
    <w:rsid w:val="36F735B6"/>
    <w:rsid w:val="37463992"/>
    <w:rsid w:val="37E10756"/>
    <w:rsid w:val="380312D6"/>
    <w:rsid w:val="392F0E3A"/>
    <w:rsid w:val="39810CF9"/>
    <w:rsid w:val="39C17A22"/>
    <w:rsid w:val="3A8D2191"/>
    <w:rsid w:val="3B816FE8"/>
    <w:rsid w:val="3B977813"/>
    <w:rsid w:val="3BD615CB"/>
    <w:rsid w:val="3BE14E9B"/>
    <w:rsid w:val="3BF33787"/>
    <w:rsid w:val="3C5A79BE"/>
    <w:rsid w:val="3C6433A2"/>
    <w:rsid w:val="3C6B6094"/>
    <w:rsid w:val="3CB67EA9"/>
    <w:rsid w:val="3CC306E0"/>
    <w:rsid w:val="3D1F3C06"/>
    <w:rsid w:val="3D833F81"/>
    <w:rsid w:val="3DA025D2"/>
    <w:rsid w:val="3DFA4CB7"/>
    <w:rsid w:val="3E3E6F4A"/>
    <w:rsid w:val="3E424E88"/>
    <w:rsid w:val="3EDE715F"/>
    <w:rsid w:val="3F916C24"/>
    <w:rsid w:val="3FE165E3"/>
    <w:rsid w:val="40054EC3"/>
    <w:rsid w:val="40AE4385"/>
    <w:rsid w:val="40C34E74"/>
    <w:rsid w:val="40D36063"/>
    <w:rsid w:val="410D7F1E"/>
    <w:rsid w:val="411104BA"/>
    <w:rsid w:val="41B524A9"/>
    <w:rsid w:val="42117D93"/>
    <w:rsid w:val="423207B2"/>
    <w:rsid w:val="426B7877"/>
    <w:rsid w:val="42DC6FBA"/>
    <w:rsid w:val="431F0CD6"/>
    <w:rsid w:val="44483FBF"/>
    <w:rsid w:val="44503F8B"/>
    <w:rsid w:val="448127E1"/>
    <w:rsid w:val="449441E0"/>
    <w:rsid w:val="44E1472E"/>
    <w:rsid w:val="45510296"/>
    <w:rsid w:val="455F1513"/>
    <w:rsid w:val="45B22D78"/>
    <w:rsid w:val="45C86B9C"/>
    <w:rsid w:val="45E463D4"/>
    <w:rsid w:val="46184234"/>
    <w:rsid w:val="46D22816"/>
    <w:rsid w:val="46EA0372"/>
    <w:rsid w:val="46FA175A"/>
    <w:rsid w:val="472E7618"/>
    <w:rsid w:val="47342EBD"/>
    <w:rsid w:val="47935AED"/>
    <w:rsid w:val="47B339A2"/>
    <w:rsid w:val="47D2735D"/>
    <w:rsid w:val="485E3805"/>
    <w:rsid w:val="485E5F9F"/>
    <w:rsid w:val="48D801AF"/>
    <w:rsid w:val="48E5112C"/>
    <w:rsid w:val="49370EF1"/>
    <w:rsid w:val="49F66CDE"/>
    <w:rsid w:val="4A434BD6"/>
    <w:rsid w:val="4A677737"/>
    <w:rsid w:val="4B5E459C"/>
    <w:rsid w:val="4C1D4291"/>
    <w:rsid w:val="4C4E122E"/>
    <w:rsid w:val="4C764793"/>
    <w:rsid w:val="4CAA03CD"/>
    <w:rsid w:val="4CB23BE6"/>
    <w:rsid w:val="4D3B07F6"/>
    <w:rsid w:val="4D496C46"/>
    <w:rsid w:val="4D7B3310"/>
    <w:rsid w:val="4DCA21A1"/>
    <w:rsid w:val="4E282929"/>
    <w:rsid w:val="4E583DA5"/>
    <w:rsid w:val="4E7D2E9A"/>
    <w:rsid w:val="4E9800E4"/>
    <w:rsid w:val="4EC819BF"/>
    <w:rsid w:val="4F282B4A"/>
    <w:rsid w:val="4F683007"/>
    <w:rsid w:val="4FC05917"/>
    <w:rsid w:val="4FDD16DB"/>
    <w:rsid w:val="50234FEB"/>
    <w:rsid w:val="50704F7B"/>
    <w:rsid w:val="50A44745"/>
    <w:rsid w:val="50C5724C"/>
    <w:rsid w:val="5144434B"/>
    <w:rsid w:val="51C05850"/>
    <w:rsid w:val="51E209BF"/>
    <w:rsid w:val="52412038"/>
    <w:rsid w:val="524E6E83"/>
    <w:rsid w:val="5250134F"/>
    <w:rsid w:val="52735020"/>
    <w:rsid w:val="529357FE"/>
    <w:rsid w:val="5304192B"/>
    <w:rsid w:val="54241D0C"/>
    <w:rsid w:val="54644B38"/>
    <w:rsid w:val="54EC0C7A"/>
    <w:rsid w:val="55624938"/>
    <w:rsid w:val="556B44D1"/>
    <w:rsid w:val="5639431D"/>
    <w:rsid w:val="578E708D"/>
    <w:rsid w:val="57F416B4"/>
    <w:rsid w:val="585B6F4C"/>
    <w:rsid w:val="586D3A24"/>
    <w:rsid w:val="589C061F"/>
    <w:rsid w:val="59230DA2"/>
    <w:rsid w:val="59233389"/>
    <w:rsid w:val="594C7F73"/>
    <w:rsid w:val="59A2633D"/>
    <w:rsid w:val="59E27C6A"/>
    <w:rsid w:val="59FB6E16"/>
    <w:rsid w:val="5AEF6C15"/>
    <w:rsid w:val="5AFB3401"/>
    <w:rsid w:val="5B0344B9"/>
    <w:rsid w:val="5B7D24CA"/>
    <w:rsid w:val="5B9939ED"/>
    <w:rsid w:val="5BC53072"/>
    <w:rsid w:val="5BF50915"/>
    <w:rsid w:val="5C0F7E83"/>
    <w:rsid w:val="5C775F0C"/>
    <w:rsid w:val="5CDE148E"/>
    <w:rsid w:val="5CED01C4"/>
    <w:rsid w:val="5DAC7451"/>
    <w:rsid w:val="5DC038CA"/>
    <w:rsid w:val="5E6B687C"/>
    <w:rsid w:val="5E6E1B83"/>
    <w:rsid w:val="5E865F7B"/>
    <w:rsid w:val="5F1D1F65"/>
    <w:rsid w:val="5FA02CCC"/>
    <w:rsid w:val="5FC937AE"/>
    <w:rsid w:val="5FD26EF5"/>
    <w:rsid w:val="5FE77090"/>
    <w:rsid w:val="60466173"/>
    <w:rsid w:val="60D12F22"/>
    <w:rsid w:val="610D51F3"/>
    <w:rsid w:val="61274414"/>
    <w:rsid w:val="614E5046"/>
    <w:rsid w:val="61BA7DEB"/>
    <w:rsid w:val="62097264"/>
    <w:rsid w:val="621C2CBC"/>
    <w:rsid w:val="628C2A3A"/>
    <w:rsid w:val="629A4596"/>
    <w:rsid w:val="63365117"/>
    <w:rsid w:val="636C2E67"/>
    <w:rsid w:val="63FC78EF"/>
    <w:rsid w:val="641614AA"/>
    <w:rsid w:val="644A3E24"/>
    <w:rsid w:val="647C4D5E"/>
    <w:rsid w:val="64CA269A"/>
    <w:rsid w:val="64EF19F4"/>
    <w:rsid w:val="64FF6C4F"/>
    <w:rsid w:val="65544A0E"/>
    <w:rsid w:val="66000882"/>
    <w:rsid w:val="66503158"/>
    <w:rsid w:val="6664256B"/>
    <w:rsid w:val="666E0F43"/>
    <w:rsid w:val="66D229E0"/>
    <w:rsid w:val="66D820E1"/>
    <w:rsid w:val="67466ADF"/>
    <w:rsid w:val="67735B33"/>
    <w:rsid w:val="67A90BD1"/>
    <w:rsid w:val="67B02AA3"/>
    <w:rsid w:val="67DE0819"/>
    <w:rsid w:val="67F70B8B"/>
    <w:rsid w:val="680D41FD"/>
    <w:rsid w:val="682F6926"/>
    <w:rsid w:val="68831B76"/>
    <w:rsid w:val="6894749C"/>
    <w:rsid w:val="69861D94"/>
    <w:rsid w:val="6A454A1D"/>
    <w:rsid w:val="6A7A124B"/>
    <w:rsid w:val="6A7C1EFE"/>
    <w:rsid w:val="6B0014B7"/>
    <w:rsid w:val="6B166B17"/>
    <w:rsid w:val="6B5930CB"/>
    <w:rsid w:val="6B8658CD"/>
    <w:rsid w:val="6BA6264B"/>
    <w:rsid w:val="6BC508D5"/>
    <w:rsid w:val="6C497F92"/>
    <w:rsid w:val="6C8E7612"/>
    <w:rsid w:val="6D36396A"/>
    <w:rsid w:val="6D8D2A05"/>
    <w:rsid w:val="6E5151FF"/>
    <w:rsid w:val="6E877BFC"/>
    <w:rsid w:val="6E9C68FC"/>
    <w:rsid w:val="6ED8032D"/>
    <w:rsid w:val="6FAE3DAD"/>
    <w:rsid w:val="6FC513FE"/>
    <w:rsid w:val="6FFE0C49"/>
    <w:rsid w:val="70035F92"/>
    <w:rsid w:val="702F783B"/>
    <w:rsid w:val="70413C56"/>
    <w:rsid w:val="706945BB"/>
    <w:rsid w:val="7125541D"/>
    <w:rsid w:val="71281B2F"/>
    <w:rsid w:val="71A85CE4"/>
    <w:rsid w:val="71BA4477"/>
    <w:rsid w:val="71E12002"/>
    <w:rsid w:val="73B45BC5"/>
    <w:rsid w:val="73CD3B63"/>
    <w:rsid w:val="74107E5F"/>
    <w:rsid w:val="7430029C"/>
    <w:rsid w:val="74382932"/>
    <w:rsid w:val="749E612F"/>
    <w:rsid w:val="74BA1821"/>
    <w:rsid w:val="761B2B23"/>
    <w:rsid w:val="7696630A"/>
    <w:rsid w:val="76A32C3B"/>
    <w:rsid w:val="77AC55D4"/>
    <w:rsid w:val="7855180A"/>
    <w:rsid w:val="787F23C4"/>
    <w:rsid w:val="78FA74BE"/>
    <w:rsid w:val="78FF7A7D"/>
    <w:rsid w:val="7916686C"/>
    <w:rsid w:val="79604C6F"/>
    <w:rsid w:val="79DE39E7"/>
    <w:rsid w:val="79EA6E80"/>
    <w:rsid w:val="7A3A50E2"/>
    <w:rsid w:val="7A6543BC"/>
    <w:rsid w:val="7A68102A"/>
    <w:rsid w:val="7B99714F"/>
    <w:rsid w:val="7C0D2DAD"/>
    <w:rsid w:val="7C6272C5"/>
    <w:rsid w:val="7C701782"/>
    <w:rsid w:val="7D1A5214"/>
    <w:rsid w:val="7D535788"/>
    <w:rsid w:val="7D563C05"/>
    <w:rsid w:val="7E10006F"/>
    <w:rsid w:val="7E526B4C"/>
    <w:rsid w:val="7EE62094"/>
    <w:rsid w:val="7EFC30CC"/>
    <w:rsid w:val="7F183351"/>
    <w:rsid w:val="7F58699A"/>
    <w:rsid w:val="7FD31D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jc w:val="center"/>
      <w:outlineLvl w:val="0"/>
    </w:pPr>
    <w:rPr>
      <w:rFonts w:eastAsia="黑体"/>
      <w:kern w:val="44"/>
      <w:sz w:val="28"/>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2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9">
    <w:name w:val="FollowedHyperlink"/>
    <w:basedOn w:val="8"/>
    <w:qFormat/>
    <w:uiPriority w:val="0"/>
    <w:rPr>
      <w:color w:val="800080"/>
      <w:u w:val="single"/>
    </w:rPr>
  </w:style>
  <w:style w:type="character" w:styleId="10">
    <w:name w:val="Hyperlink"/>
    <w:basedOn w:val="8"/>
    <w:qFormat/>
    <w:uiPriority w:val="0"/>
    <w:rPr>
      <w:color w:val="0000FF"/>
      <w:u w:val="single"/>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3">
    <w:name w:val="font21"/>
    <w:basedOn w:val="8"/>
    <w:qFormat/>
    <w:uiPriority w:val="0"/>
    <w:rPr>
      <w:rFonts w:hint="eastAsia" w:ascii="宋体" w:hAnsi="宋体" w:eastAsia="宋体" w:cs="宋体"/>
      <w:color w:val="000000"/>
      <w:sz w:val="24"/>
      <w:szCs w:val="24"/>
      <w:u w:val="none"/>
    </w:rPr>
  </w:style>
  <w:style w:type="character" w:customStyle="1" w:styleId="14">
    <w:name w:val="font01"/>
    <w:basedOn w:val="8"/>
    <w:qFormat/>
    <w:uiPriority w:val="0"/>
    <w:rPr>
      <w:rFonts w:hint="default" w:ascii="Arial" w:hAnsi="Arial" w:cs="Arial"/>
      <w:color w:val="000000"/>
      <w:sz w:val="24"/>
      <w:szCs w:val="24"/>
      <w:u w:val="none"/>
    </w:rPr>
  </w:style>
  <w:style w:type="character" w:customStyle="1" w:styleId="15">
    <w:name w:val="t"/>
    <w:basedOn w:val="8"/>
    <w:qFormat/>
    <w:uiPriority w:val="0"/>
  </w:style>
  <w:style w:type="paragraph" w:customStyle="1" w:styleId="16">
    <w:name w:val="Table Paragraph"/>
    <w:basedOn w:val="1"/>
    <w:qFormat/>
    <w:uiPriority w:val="1"/>
  </w:style>
  <w:style w:type="paragraph" w:customStyle="1" w:styleId="17">
    <w:name w:val="无间隔1"/>
    <w:qFormat/>
    <w:uiPriority w:val="1"/>
    <w:pPr>
      <w:widowControl w:val="0"/>
      <w:jc w:val="both"/>
    </w:pPr>
    <w:rPr>
      <w:rFonts w:ascii="Calibri" w:hAnsi="Calibri" w:eastAsiaTheme="minorEastAsia" w:cstheme="minorBidi"/>
      <w:kern w:val="2"/>
      <w:sz w:val="21"/>
      <w:szCs w:val="22"/>
      <w:lang w:val="en-US" w:eastAsia="zh-CN" w:bidi="ar-SA"/>
    </w:rPr>
  </w:style>
  <w:style w:type="paragraph" w:customStyle="1" w:styleId="18">
    <w:name w:val="缩进正文1"/>
    <w:basedOn w:val="1"/>
    <w:qFormat/>
    <w:uiPriority w:val="0"/>
    <w:pPr>
      <w:ind w:left="874" w:hanging="420"/>
    </w:pPr>
    <w:rPr>
      <w:rFonts w:ascii="宋体"/>
      <w:szCs w:val="21"/>
    </w:rPr>
  </w:style>
  <w:style w:type="paragraph" w:customStyle="1" w:styleId="1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0">
    <w:name w:val="批注框文本 Char"/>
    <w:basedOn w:val="8"/>
    <w:link w:val="3"/>
    <w:qFormat/>
    <w:uiPriority w:val="0"/>
    <w:rPr>
      <w:rFonts w:ascii="Calibri" w:hAnsi="Calibri" w:eastAsia="宋体" w:cs="Times New Roman"/>
      <w:kern w:val="2"/>
      <w:sz w:val="18"/>
      <w:szCs w:val="18"/>
    </w:rPr>
  </w:style>
  <w:style w:type="character" w:customStyle="1" w:styleId="21">
    <w:name w:val="font41"/>
    <w:qFormat/>
    <w:uiPriority w:val="0"/>
    <w:rPr>
      <w:rFonts w:hint="eastAsia" w:ascii="宋体" w:hAnsi="宋体" w:eastAsia="宋体" w:cs="宋体"/>
      <w:color w:val="000000"/>
      <w:sz w:val="20"/>
      <w:szCs w:val="20"/>
      <w:u w:val="none"/>
    </w:rPr>
  </w:style>
  <w:style w:type="character" w:customStyle="1" w:styleId="22">
    <w:name w:val="font51"/>
    <w:qFormat/>
    <w:uiPriority w:val="0"/>
    <w:rPr>
      <w:rFonts w:hint="default" w:ascii="Times New Roman" w:hAnsi="Times New Roman" w:cs="Times New Roman"/>
      <w:color w:val="000000"/>
      <w:sz w:val="20"/>
      <w:szCs w:val="20"/>
      <w:u w:val="none"/>
    </w:rPr>
  </w:style>
  <w:style w:type="paragraph" w:customStyle="1" w:styleId="23">
    <w:name w:val="列出段落1"/>
    <w:basedOn w:val="1"/>
    <w:qFormat/>
    <w:uiPriority w:val="34"/>
    <w:pPr>
      <w:ind w:firstLine="420" w:firstLineChars="200"/>
    </w:pPr>
  </w:style>
  <w:style w:type="character" w:customStyle="1" w:styleId="24">
    <w:name w:val="font31"/>
    <w:basedOn w:val="8"/>
    <w:qFormat/>
    <w:uiPriority w:val="0"/>
    <w:rPr>
      <w:rFonts w:hint="eastAsia" w:ascii="宋体" w:hAnsi="宋体" w:eastAsia="宋体" w:cs="宋体"/>
      <w:color w:val="000000"/>
      <w:sz w:val="21"/>
      <w:szCs w:val="21"/>
      <w:u w:val="none"/>
    </w:rPr>
  </w:style>
  <w:style w:type="character" w:customStyle="1" w:styleId="25">
    <w:name w:val="font61"/>
    <w:basedOn w:val="8"/>
    <w:qFormat/>
    <w:uiPriority w:val="0"/>
    <w:rPr>
      <w:rFonts w:hint="default" w:ascii="Times New Roman" w:hAnsi="Times New Roman" w:cs="Times New Roman"/>
      <w:color w:val="000000"/>
      <w:sz w:val="21"/>
      <w:szCs w:val="21"/>
      <w:u w:val="none"/>
    </w:rPr>
  </w:style>
  <w:style w:type="character" w:customStyle="1" w:styleId="26">
    <w:name w:val="font11"/>
    <w:basedOn w:val="8"/>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48</Pages>
  <Words>36554</Words>
  <Characters>5229</Characters>
  <Lines>43</Lines>
  <Paragraphs>83</Paragraphs>
  <TotalTime>34</TotalTime>
  <ScaleCrop>false</ScaleCrop>
  <LinksUpToDate>false</LinksUpToDate>
  <CharactersWithSpaces>41700</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hunjun</dc:creator>
  <cp:lastModifiedBy>E550-Win32</cp:lastModifiedBy>
  <dcterms:modified xsi:type="dcterms:W3CDTF">2020-08-07T05:22:33Z</dcterms:modified>
  <cp:revision>297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